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50" w:before="0"/>
        <w:jc w:val="left"/>
      </w:pPr>
      <w:r>
        <w:rPr>
          <w:b/>
          <w:bCs/>
          <w:color w:val="102A43"/>
          <w:sz w:val="48"/>
          <w:szCs w:val="48"/>
        </w:rPr>
        <w:t xml:space="preserve">材料对照与补证清单</w:t>
      </w:r>
    </w:p>
    <w:p>
      <w:pPr>
        <w:pStyle w:val="Heading1"/>
        <w:keepNext/>
        <w:spacing w:after="150" w:line="330"/>
      </w:pPr>
      <w:r>
        <w:t xml:space="preserve">一 材料对照（关键数据/主张 → 出处）</w:t>
      </w:r>
    </w:p>
    <w:p>
      <w:pPr>
        <w:pStyle w:val="Heading3"/>
        <w:keepNext/>
        <w:spacing w:after="150" w:line="330"/>
      </w:pPr>
      <w:r>
        <w:t xml:space="preserve">关键数据与主张出处对照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2298"/>
        <w:gridCol w:w="5087"/>
        <w:gridCol w:w="2621"/>
      </w:tblGrid>
      <w:tr>
        <w:trPr>
          <w:cantSplit/>
          <w:tblHeader/>
        </w:trPr>
        <w:tc>
          <w:tcPr>
            <w:tcW w:type="dxa" w:w="229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初稿章节/主张</w:t>
            </w:r>
          </w:p>
        </w:tc>
        <w:tc>
          <w:tcPr>
            <w:tcW w:type="dxa" w:w="5087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关键内容</w:t>
            </w:r>
          </w:p>
        </w:tc>
        <w:tc>
          <w:tcPr>
            <w:tcW w:type="dxa" w:w="2621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材料出处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项目定位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拟研究弱网现场资料保全与异常协同，不做全自动故障预测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M01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台架试验 16/20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20组模拟弱网提交16组可确认传回（仅一次性，未建校验索引；负责人更正，原M02为18/20）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负责人更正；M02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原型能力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记录温度/振动/异常备注；人工导出CSV、人工分派、无生产接口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M03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团队构成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顾工/林工/周工及经验年数（虚构角色）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M04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预算科目与合计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设备10/材料6/试验外协8/人员20/差旅2/其他2=48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负责人决策；M05压缩重排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实施周期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9个月（原M01为12个月）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负责人决策；M01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阶段计划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三阶段任务、交付与验证方式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M06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待验证创新方向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低成本数据保全可恢复性、异常交接可追踪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M07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合作状态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合作方尚未签署协议，无合作承诺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负责人说明；M07/M08</w:t>
            </w:r>
          </w:p>
        </w:tc>
      </w:tr>
      <w:tr>
        <w:trPr>
          <w:cantSplit/>
          <w:tblHeader w:val="false"/>
        </w:trPr>
        <w:tc>
          <w:tcPr>
            <w:tcW w:type="dxa" w:w="22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旧宣传“可靠率95%”</w:t>
            </w:r>
          </w:p>
        </w:tc>
        <w:tc>
          <w:tcPr>
            <w:tcW w:type="dxa" w:w="508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与16/20不一致，不作已验证效果</w:t>
            </w:r>
          </w:p>
        </w:tc>
        <w:tc>
          <w:tcPr>
            <w:tcW w:type="dxa" w:w="26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M07 vs 负责人更正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二 材料冲突</w:t>
      </w:r>
    </w:p>
    <w:p>
      <w:pPr>
        <w:spacing w:after="150" w:line="330"/>
      </w:pPr>
      <w:r>
        <w:t xml:space="preserve">· 冲突：旧宣传草案“可靠率95%”（M07）与更正后台架结果16/20（约80%）不一致；前者无实验支撑，初稿未采用，最终口径需负责人确认【M07】【负责人更正】。</w:t>
      </w:r>
    </w:p>
    <w:p>
      <w:pPr>
        <w:spacing w:after="150" w:line="330"/>
      </w:pPr>
      <w:r>
        <w:t xml:space="preserve">· 冲突：M02实验摘要v1记为“20组18组最终传回”，负责人最新更正为“20组仅16组可确认传回”；以更正后16/20为准，原18/20不再使用【负责人更正 vs M02】。</w:t>
      </w:r>
    </w:p>
    <w:p>
      <w:pPr>
        <w:spacing w:after="150" w:line="330"/>
      </w:pPr>
      <w:r>
        <w:t xml:space="preserve">· 变更：实施周期由12个月（M01）调整为9个月，总预算由60万元（M05）调整为48万元【负责人决策 vs M01/M05】。</w:t>
      </w:r>
    </w:p>
    <w:p>
      <w:pPr>
        <w:pStyle w:val="Heading1"/>
        <w:keepNext/>
        <w:spacing w:after="150" w:line="330"/>
      </w:pPr>
      <w:r>
        <w:t xml:space="preserve">三 缺失证据（待补）</w:t>
      </w:r>
    </w:p>
    <w:p>
      <w:pPr>
        <w:spacing w:after="150" w:line="330"/>
      </w:pPr>
      <w:r>
        <w:t xml:space="preserve">· 试验原始逐组数据与验证人签字（更正后16/20仍需逐组校验索引）【M02】【M08】。</w:t>
      </w:r>
    </w:p>
    <w:p>
      <w:pPr>
        <w:spacing w:after="150" w:line="330"/>
      </w:pPr>
      <w:r>
        <w:t xml:space="preserve">· 具体验收指标阈值【M01】【M06】。</w:t>
      </w:r>
    </w:p>
    <w:p>
      <w:pPr>
        <w:spacing w:after="150" w:line="330"/>
      </w:pPr>
      <w:r>
        <w:t xml:space="preserve">· 设备报价、外协报价【M05】【M08】。</w:t>
      </w:r>
    </w:p>
    <w:p>
      <w:pPr>
        <w:spacing w:after="150" w:line="330"/>
      </w:pPr>
      <w:r>
        <w:t xml:space="preserve">· 试点接入授权【M06】【M08】。</w:t>
      </w:r>
    </w:p>
    <w:p>
      <w:pPr>
        <w:spacing w:after="150" w:line="330"/>
      </w:pPr>
      <w:r>
        <w:t xml:space="preserve">· 合作协议/合作单位及范围（合作方尚未签署协议）【负责人说明；M07/M08】。</w:t>
      </w:r>
    </w:p>
    <w:p>
      <w:pPr>
        <w:spacing w:after="150" w:line="330"/>
      </w:pPr>
      <w:r>
        <w:t xml:space="preserve">· 文献/专利查新记录【M07】【M08】。</w:t>
      </w:r>
    </w:p>
    <w:p>
      <w:pPr>
        <w:spacing w:after="150" w:line="330"/>
      </w:pPr>
      <w:r>
        <w:t xml:space="preserve">· 申请者真实注册证照、专利证明【M08】。</w:t>
      </w:r>
    </w:p>
    <w:p>
      <w:pPr>
        <w:spacing w:after="150" w:line="330"/>
      </w:pPr>
      <w:r>
        <w:t xml:space="preserve">· 本轮所称新附件正文（含实验更正与合作未签约说明）未随消息提供，当前以负责人消息内明确更正为准，待提供附件正文核对是否含其他变更【负责人】。</w:t>
      </w:r>
    </w:p>
    <w:p>
      <w:pPr>
        <w:pStyle w:val="Heading1"/>
        <w:keepNext/>
        <w:spacing w:after="150" w:line="330"/>
      </w:pPr>
      <w:r>
        <w:t xml:space="preserve">四 需负责人决定事项</w:t>
      </w:r>
    </w:p>
    <w:p>
      <w:pPr>
        <w:spacing w:after="150" w:line="330"/>
      </w:pPr>
      <w:r>
        <w:t xml:space="preserve">· 确认验收指标阈值（弱网提交可恢复性、异常交接流程的具体验收口径）【M01】【M06】。</w:t>
      </w:r>
    </w:p>
    <w:p>
      <w:pPr>
        <w:spacing w:after="150" w:line="330"/>
      </w:pPr>
      <w:r>
        <w:t xml:space="preserve">· 确认是否与外部测试方合作及范围、费用依据（合作方尚未签署协议，是否推进签约或转为自主完成）【负责人说明；M05/M07/M08】。</w:t>
      </w:r>
    </w:p>
    <w:p>
      <w:pPr>
        <w:spacing w:after="150" w:line="330"/>
      </w:pPr>
      <w:r>
        <w:t xml:space="preserve">· 确认旧宣传“可靠率95%”口径是否废弃（现与16/20不一致）【M07】。</w:t>
      </w:r>
    </w:p>
    <w:p>
      <w:pPr>
        <w:spacing w:after="150" w:line="330"/>
      </w:pPr>
      <w:r>
        <w:t xml:space="preserve">· 确认试点单位与接入授权【M06】【M08】。</w:t>
      </w:r>
    </w:p>
    <w:p>
      <w:pPr>
        <w:spacing w:after="150" w:line="330"/>
      </w:pPr>
      <w:r>
        <w:t xml:space="preserve">· 确认压缩后预算科目重排方案（设备10/材料6/试验外协8/人员20/差旅2/其他2=48）是否认可【负责人】。</w:t>
      </w:r>
    </w:p>
    <w:p>
      <w:pPr>
        <w:pStyle w:val="Heading1"/>
        <w:keepNext/>
        <w:spacing w:after="150" w:line="330"/>
      </w:pPr>
      <w:r>
        <w:t xml:space="preserve">五 预算与工作计划一致性核对</w:t>
      </w:r>
    </w:p>
    <w:p>
      <w:pPr>
        <w:spacing w:after="150" w:line="330"/>
      </w:pPr>
      <w:r>
        <w:t xml:space="preserve">预算与阶段计划已同步调整为周期9个月、总预算48万元【负责人决策】。设备费10万元满足“设备费至少10万元”要求；其他费2万元未超过“其他费不超过10%”（≤4.8万元）上限，差旅与其他合计4万元占8.3%未超10%。设备费、材料费主要对应4-6月台架实验阶段；试验与外协费对应台架测试与现场试点适配（合作未签约，仅计划项）；三阶段（1-3/4-6/7-9月）与9个月周期对应。外协尚无报价且合作方未签约，与阶段计划“试点接入授权待确认”同列为待补【负责人；M05/M06/M08】。</w:t>
      </w:r>
    </w:p>
    <w:p>
      <w:pPr>
        <w:pStyle w:val="Heading1"/>
        <w:keepNext/>
        <w:spacing w:after="150" w:line="330"/>
      </w:pPr>
      <w:r>
        <w:t xml:space="preserve">六 调整对申报论证的影响与仍需补齐材料</w:t>
      </w:r>
    </w:p>
    <w:p>
      <w:pPr>
        <w:spacing w:after="150" w:line="330"/>
      </w:pPr>
      <w:r>
        <w:t xml:space="preserve">影响一（实验证据）：实验口径由18/20更正为16/20（约80%），可确认传回比例下降，弱网提交可恢复性这一核心验证方向的支撑证据进一步弱化，需逐组校验索引与验证签字后方可引用【负责人更正；M02】。</w:t>
      </w:r>
    </w:p>
    <w:p>
      <w:pPr>
        <w:spacing w:after="150" w:line="330"/>
      </w:pPr>
      <w:r>
        <w:t xml:space="preserve">影响二（周期压缩）：周期由12个月缩短为9个月，原第四阶段（10-12月重复验证与整理报告）压缩并入第三阶段（7-9月），试点适配与重复验证时间更紧，试点授权与验收指标需尽早确定【负责人决策；M06】。</w:t>
      </w:r>
    </w:p>
    <w:p>
      <w:pPr>
        <w:spacing w:after="150" w:line="330"/>
      </w:pPr>
      <w:r>
        <w:t xml:space="preserve">影响三（预算压缩）：总预算由60万元压缩20%至48万元，人员投入与试验外协相应下调；设备费维持不低于10万元以保证采集/存储/弱网终端，其他费控制在10%以内。若外协无法在9个月内完成签约，需调整试验与外协费的使用方式【负责人决策；M05】。</w:t>
      </w:r>
    </w:p>
    <w:p>
      <w:pPr>
        <w:spacing w:after="150" w:line="330"/>
      </w:pPr>
      <w:r>
        <w:t xml:space="preserve">影响四（合作承诺）：因合作方尚未签署协议，已删除无依据的合作共建、共同验证、外部测试方等既成事实表述，相关内容转为待确认计划项并列入缺失证据；申报论证中“合作基础”暂不成立，创新点论证回归自有原型与团队能力【负责人说明；M07/M08】。</w:t>
      </w:r>
    </w:p>
    <w:p>
      <w:pPr>
        <w:spacing w:after="150" w:line="330"/>
      </w:pPr>
      <w:r>
        <w:t xml:space="preserve">仍需补齐材料：新附件正文（核对是否含其他变更）、试验逐组数据与签字、设备与外协报价、试点授权、合作协议、文献/专利查新、真实注册证照与专利证明【M02/M05/M06/M07/M08】。</w:t>
      </w:r>
    </w:p>
    <w:sectPr>
      <w:footerReference w:type="default" r:id="rId7"/>
      <w:pgSz w:w="11906" w:h="16838" w:orient="portrait"/>
      <w:pgMar w:top="900" w:right="950" w:bottom="85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D6D7E"/>
        <w:sz w:val="16"/>
        <w:szCs w:val="16"/>
      </w:rPr>
      <w:t xml:space="preserve">材料对照与补证清单  ·  </w:t>
    </w:r>
    <w:r>
      <w:rPr>
        <w:color w:val="5D6D7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43746"/>
        <w:sz w:val="22"/>
        <w:szCs w:val="22"/>
      </w:rPr>
    </w:rPrDefault>
    <w:pPrDefault>
      <w:pPr>
        <w:widowControl/>
        <w:spacing w:line="3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/>
      <w:bCs/>
      <w:color w:val="102A43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60" w:before="260"/>
      <w:outlineLvl w:val="0"/>
    </w:pPr>
    <w:rPr>
      <w:rFonts w:ascii="Microsoft YaHei" w:cs="Microsoft YaHei" w:eastAsia="Microsoft YaHei" w:hAnsi="Microsoft YaHei"/>
      <w:b/>
      <w:bCs/>
      <w:color w:val="102A43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563EB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99" w:before="161"/>
      <w:outlineLvl w:val="2"/>
    </w:pPr>
    <w:rPr>
      <w:rFonts w:ascii="Microsoft YaHei" w:cs="Microsoft YaHei" w:eastAsia="Microsoft YaHei" w:hAnsi="Microsoft YaHei"/>
      <w:b/>
      <w:bCs/>
      <w:color w:val="2563E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材料对照与补证清单</dc:title>
  <dc:subject>低成本设备状态监测与现场异常协同技术研发 申报初稿（v2 更新副本）｜演示材料</dc:subject>
  <dc:creator>灵栀 AI</dc:creator>
  <cp:lastModifiedBy>Un-named</cp:lastModifiedBy>
  <cp:revision>1</cp:revision>
  <dcterms:created xsi:type="dcterms:W3CDTF">2026-10-08T07:34:49.441Z</dcterms:created>
  <dcterms:modified xsi:type="dcterms:W3CDTF">2026-10-08T07:34:49.441Z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