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150" w:before="0"/>
        <w:jc w:val="left"/>
      </w:pPr>
      <w:r>
        <w:rPr>
          <w:b/>
          <w:bCs/>
          <w:color w:val="102A43"/>
          <w:sz w:val="45"/>
          <w:szCs w:val="45"/>
        </w:rPr>
        <w:t xml:space="preserve">衡途感知 S20 工业状态监测套件 · 30 </w:t>
      </w:r>
      <w:r>
        <w:rPr>
          <w:b/>
          <w:bCs/>
          <w:color w:val="102A43"/>
          <w:sz w:val="45"/>
          <w:szCs w:val="45"/>
        </w:rPr>
        <w:br/>
        <w:t xml:space="preserve">天获客实验方案（低成本验证版 · 8000 元）</w:t>
      </w:r>
    </w:p>
    <w:p>
      <w:pPr>
        <w:pStyle w:val="Heading1"/>
        <w:keepNext/>
        <w:spacing w:after="150" w:line="330"/>
      </w:pPr>
      <w:r>
        <w:t xml:space="preserve">一、结论摘要</w:t>
      </w:r>
    </w:p>
    <w:p>
      <w:pPr>
        <w:spacing w:after="150" w:line="330"/>
      </w:pPr>
      <w:r>
        <w:t xml:space="preserve">本轮修订（相对首轮 2 万元版本）：总预算下调至 8000 元；明确没有可靠的付费渠道历史转化率，本方案不依赖付费投放、不做渠道转化率的定量承诺；销售反馈客户更愿意先看一次现场演示、而不是留下资料等回电，因此获客路径由「留资/回电」改为「以现场演示驱动」为主线。</w:t>
      </w:r>
    </w:p>
    <w:p>
      <w:pPr>
        <w:spacing w:after="150" w:line="330"/>
      </w:pPr>
      <w:r>
        <w:t xml:space="preserve">优先验证客户群不变：小型金属加工厂（设备主管/老板）。历史 24 条线索中该群 8 条：成交 3、演示后评估 5、失单 0；顾虑「愿意单线试点、需看现场适配」与产品能力匹配，楼宇物业（全失单）与大型化工园区（全失单，需认证与集成）本轮仍不优先。</w:t>
      </w:r>
    </w:p>
    <w:p>
      <w:pPr>
        <w:spacing w:after="150" w:line="330"/>
      </w:pPr>
      <w:r>
        <w:t xml:space="preserve">价值表达不变：把振动/温度趋势、可配置告警、CSV 导出、本地数据、单线试点转译为设备主管的「非计划停机、漏检、经验依赖、数据安全」问题语言；不承诺减少停机百分比、不预测所有故障、不替代安全保护系统。</w:t>
      </w:r>
    </w:p>
    <w:p>
      <w:pPr>
        <w:spacing w:after="150" w:line="330"/>
      </w:pPr>
      <w:r>
        <w:t xml:space="preserve">30 天实验口径：两人团队（销售 1 + 技术支持 1），推广可用约 6 人日/周，总预算 8000 元；渠道仍以老客户引荐、行业协会公开活动、经销伙伴、公开专业内容四类为主，不投付费广告、不采集私人联系方式；邀约以现场演示为主线，现场演示仅用于通过资格审查的重点线索。</w:t>
      </w:r>
    </w:p>
    <w:p>
      <w:pPr>
        <w:spacing w:after="150" w:line="330"/>
      </w:pPr>
      <w:r>
        <w:t xml:space="preserve">漏斗目标（均为假设区间，不承诺订单）：触达 300–600 → 意向 20–40 → 有效线索 12–24 → 现场演示 4–8 → 后续评估 2–5 → 预计成交 0–2；成交付款通常 30–60 天，30 天窗口只计「进入评估/报价」，不把预计成交写成已实现营收。</w:t>
      </w:r>
    </w:p>
    <w:p>
      <w:pPr>
        <w:spacing w:after="150" w:line="330"/>
      </w:pPr>
      <w:r>
        <w:t xml:space="preserve">获客成本（区间口径）：每条有效线索约 333–667 元；每次现场演示差旅约 450–900 元（差旅预算 3600 元、约 6 次）；本阶段以验证「现场演示→评估」路径为目标，不以单笔成单回收为目标、不承诺订单数量。</w:t>
      </w:r>
    </w:p>
    <w:p>
      <w:pPr>
        <w:pStyle w:val="Heading1"/>
        <w:keepNext/>
        <w:spacing w:after="150" w:line="330"/>
      </w:pPr>
      <w:r>
        <w:t xml:space="preserve">二、客户群选择：依据与适用边界</w:t>
      </w:r>
    </w:p>
    <w:p>
      <w:pPr>
        <w:spacing w:after="150" w:line="330"/>
      </w:pPr>
      <w:r>
        <w:t xml:space="preserve">历史 24 条线索仅来自引荐与展会，样本小且没有曝光与点击数据，不能反推任何渠道（含付费渠道）转化率；以下比较仅用于判断优先验证哪个客户群。</w:t>
      </w:r>
    </w:p>
    <w:p>
      <w:pPr>
        <w:spacing w:after="150" w:line="330"/>
      </w:pPr>
      <w:r>
        <w:t xml:space="preserve">选择依据：三个候选群中，只有小型金属加工厂同时满足「有成交记录」且「顾虑可被当前产品能力解决」；其顾虑「愿意单线试点、需看现场适配」正对应产品「单站点、可单线试点、现场演示」的能力。</w:t>
      </w:r>
    </w:p>
    <w:p>
      <w:pPr>
        <w:spacing w:after="150" w:line="330"/>
      </w:pPr>
      <w:r>
        <w:t xml:space="preserve">适用边界：优先验证群仅限有稳定供电、局域网、设备安装位可确认、愿意单线试点的小型金属加工/机加工类工厂；超出此范围的线索不进入现场演示排期。</w:t>
      </w:r>
    </w:p>
    <w:p>
      <w:pPr>
        <w:spacing w:after="150" w:line="330"/>
      </w:pPr>
      <w:r>
        <w:t xml:space="preserve">不适用：楼宇物业（需覆盖多楼宇、预算低于套件价）、大型化工园区（需认证与现有系统集成）、医疗/危险环境（无认证）、需深度生产系统集成（尚无成熟连接器）的场景，本轮不作为优先验证对象。</w:t>
      </w:r>
    </w:p>
    <w:p>
      <w:pPr>
        <w:pStyle w:val="Heading3"/>
        <w:keepNext/>
        <w:spacing w:after="150" w:line="330"/>
      </w:pPr>
      <w:r>
        <w:t xml:space="preserve">客户群线索对比（基于历史 24 条）</w:t>
      </w:r>
    </w:p>
    <w:tbl>
      <w:tblPr>
        <w:tblW w:type="dxa" w:w="10006"/>
        <w:tblBorders>
          <w:top w:val="single" w:color="D7E3EE" w:sz="1"/>
          <w:left w:val="single" w:color="D7E3EE" w:sz="1"/>
          <w:bottom w:val="single" w:color="D7E3EE" w:sz="1"/>
          <w:right w:val="single" w:color="D7E3EE" w:sz="1"/>
          <w:insideH w:val="single" w:color="D7E3EE" w:sz="1"/>
          <w:insideV w:val="single" w:color="D7E3EE" w:sz="1"/>
        </w:tblBorders>
        <w:tblLayout w:type="fixed"/>
      </w:tblPr>
      <w:tblGrid>
        <w:gridCol w:w="1397"/>
        <w:gridCol w:w="1273"/>
        <w:gridCol w:w="860"/>
        <w:gridCol w:w="860"/>
        <w:gridCol w:w="1273"/>
        <w:gridCol w:w="2170"/>
        <w:gridCol w:w="2173"/>
      </w:tblGrid>
      <w:tr>
        <w:trPr>
          <w:cantSplit/>
          <w:tblHeader/>
        </w:trPr>
        <w:tc>
          <w:tcPr>
            <w:tcW w:type="dxa" w:w="1397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客户群</w:t>
            </w:r>
          </w:p>
        </w:tc>
        <w:tc>
          <w:tcPr>
            <w:tcW w:type="dxa" w:w="1273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历史线索数</w:t>
            </w:r>
          </w:p>
        </w:tc>
        <w:tc>
          <w:tcPr>
            <w:tcW w:type="dxa" w:w="860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成交</w:t>
            </w:r>
          </w:p>
        </w:tc>
        <w:tc>
          <w:tcPr>
            <w:tcW w:type="dxa" w:w="860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失单</w:t>
            </w:r>
          </w:p>
        </w:tc>
        <w:tc>
          <w:tcPr>
            <w:tcW w:type="dxa" w:w="1273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演示后评估</w:t>
            </w:r>
          </w:p>
        </w:tc>
        <w:tc>
          <w:tcPr>
            <w:tcW w:type="dxa" w:w="2170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主要顾虑</w:t>
            </w:r>
          </w:p>
        </w:tc>
        <w:tc>
          <w:tcPr>
            <w:tcW w:type="dxa" w:w="2173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与产品匹配</w:t>
            </w:r>
          </w:p>
        </w:tc>
      </w:tr>
      <w:tr>
        <w:trPr>
          <w:cantSplit/>
          <w:tblHeader w:val="false"/>
        </w:trPr>
        <w:tc>
          <w:tcPr>
            <w:tcW w:type="dxa" w:w="1397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小型金属加工厂</w:t>
            </w:r>
          </w:p>
        </w:tc>
        <w:tc>
          <w:tcPr>
            <w:tcW w:type="dxa" w:w="1273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86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86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0</w:t>
            </w:r>
          </w:p>
        </w:tc>
        <w:tc>
          <w:tcPr>
            <w:tcW w:type="dxa" w:w="1273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217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愿意单线试点、需看现场适配</w:t>
            </w:r>
          </w:p>
        </w:tc>
        <w:tc>
          <w:tcPr>
            <w:tcW w:type="dxa" w:w="2173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高：支持单线试点与现场适配</w:t>
            </w:r>
          </w:p>
        </w:tc>
      </w:tr>
      <w:tr>
        <w:trPr>
          <w:cantSplit/>
          <w:tblHeader w:val="false"/>
        </w:trPr>
        <w:tc>
          <w:tcPr>
            <w:tcW w:type="dxa" w:w="1397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楼宇物业运维</w:t>
            </w:r>
          </w:p>
        </w:tc>
        <w:tc>
          <w:tcPr>
            <w:tcW w:type="dxa" w:w="1273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86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0</w:t>
            </w:r>
          </w:p>
        </w:tc>
        <w:tc>
          <w:tcPr>
            <w:tcW w:type="dxa" w:w="86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1273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0</w:t>
            </w:r>
          </w:p>
        </w:tc>
        <w:tc>
          <w:tcPr>
            <w:tcW w:type="dxa" w:w="217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希望覆盖多楼宇、预算低于套件价</w:t>
            </w:r>
          </w:p>
        </w:tc>
        <w:tc>
          <w:tcPr>
            <w:tcW w:type="dxa" w:w="2173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低：部署范围小、单价高于其预算</w:t>
            </w:r>
          </w:p>
        </w:tc>
      </w:tr>
      <w:tr>
        <w:trPr>
          <w:cantSplit/>
          <w:tblHeader w:val="false"/>
        </w:trPr>
        <w:tc>
          <w:tcPr>
            <w:tcW w:type="dxa" w:w="1397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大型化工园区</w:t>
            </w:r>
          </w:p>
        </w:tc>
        <w:tc>
          <w:tcPr>
            <w:tcW w:type="dxa" w:w="1273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86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0</w:t>
            </w:r>
          </w:p>
        </w:tc>
        <w:tc>
          <w:tcPr>
            <w:tcW w:type="dxa" w:w="86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1273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0</w:t>
            </w:r>
          </w:p>
        </w:tc>
        <w:tc>
          <w:tcPr>
            <w:tcW w:type="dxa" w:w="217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需认证与现有系统集成</w:t>
            </w:r>
          </w:p>
        </w:tc>
        <w:tc>
          <w:tcPr>
            <w:tcW w:type="dxa" w:w="2173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低：无认证、无成熟连接器</w:t>
            </w:r>
          </w:p>
        </w:tc>
      </w:tr>
    </w:tbl>
    <w:p>
      <w:pPr>
        <w:spacing w:after="140" w:line="330"/>
      </w:pPr>
      <w:r>
        <w:t xml:space="preserve"/>
      </w:r>
    </w:p>
    <w:p>
      <w:pPr>
        <w:pStyle w:val="Heading1"/>
        <w:keepNext/>
        <w:spacing w:after="150" w:line="330"/>
      </w:pPr>
      <w:r>
        <w:t xml:space="preserve">三、技术参数 → 价值表达</w:t>
      </w:r>
    </w:p>
    <w:p>
      <w:pPr>
        <w:spacing w:after="150" w:line="330"/>
      </w:pPr>
      <w:r>
        <w:t xml:space="preserve">把产品事实转译为设备主管听得懂、且对应其真实问题的语言；不编造成交案例与性能承诺。以下映射只陈述能力与对应问题，不承诺效果百分比。</w:t>
      </w:r>
    </w:p>
    <w:p>
      <w:pPr>
        <w:pStyle w:val="Heading3"/>
        <w:keepNext/>
        <w:spacing w:after="150" w:line="330"/>
      </w:pPr>
      <w:r>
        <w:t xml:space="preserve">技术参数到客户价值的映射</w:t>
      </w:r>
    </w:p>
    <w:tbl>
      <w:tblPr>
        <w:tblW w:type="dxa" w:w="10006"/>
        <w:tblBorders>
          <w:top w:val="single" w:color="D7E3EE" w:sz="1"/>
          <w:left w:val="single" w:color="D7E3EE" w:sz="1"/>
          <w:bottom w:val="single" w:color="D7E3EE" w:sz="1"/>
          <w:right w:val="single" w:color="D7E3EE" w:sz="1"/>
          <w:insideH w:val="single" w:color="D7E3EE" w:sz="1"/>
          <w:insideV w:val="single" w:color="D7E3EE" w:sz="1"/>
        </w:tblBorders>
        <w:tblLayout w:type="fixed"/>
      </w:tblPr>
      <w:tblGrid>
        <w:gridCol w:w="2521"/>
        <w:gridCol w:w="2809"/>
        <w:gridCol w:w="4676"/>
      </w:tblGrid>
      <w:tr>
        <w:trPr>
          <w:cantSplit/>
          <w:tblHeader/>
        </w:trPr>
        <w:tc>
          <w:tcPr>
            <w:tcW w:type="dxa" w:w="2521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技术参数 / 事实</w:t>
            </w:r>
          </w:p>
        </w:tc>
        <w:tc>
          <w:tcPr>
            <w:tcW w:type="dxa" w:w="2809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客户问题</w:t>
            </w:r>
          </w:p>
        </w:tc>
        <w:tc>
          <w:tcPr>
            <w:tcW w:type="dxa" w:w="4676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价值表达</w:t>
            </w:r>
          </w:p>
        </w:tc>
      </w:tr>
      <w:tr>
        <w:trPr>
          <w:cantSplit/>
          <w:tblHeader w:val="false"/>
        </w:trPr>
        <w:tc>
          <w:tcPr>
            <w:tcW w:type="dxa" w:w="2521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振动 + 温度传感器（单站 8 点）+ 局域网网关</w:t>
            </w:r>
          </w:p>
        </w:tc>
        <w:tc>
          <w:tcPr>
            <w:tcW w:type="dxa" w:w="2809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非计划停机、人工巡检漏检</w:t>
            </w:r>
          </w:p>
        </w:tc>
        <w:tc>
          <w:tcPr>
            <w:tcW w:type="dxa" w:w="4676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一台网关看 8 个关键点位的振动与温度趋势，异常先知道，不必等坏了抢修</w:t>
            </w:r>
          </w:p>
        </w:tc>
      </w:tr>
      <w:tr>
        <w:trPr>
          <w:cantSplit/>
          <w:tblHeader w:val="false"/>
        </w:trPr>
        <w:tc>
          <w:tcPr>
            <w:tcW w:type="dxa" w:w="2521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可配置告警（阈值）</w:t>
            </w:r>
          </w:p>
        </w:tc>
        <w:tc>
          <w:tcPr>
            <w:tcW w:type="dxa" w:w="2809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巡检标准靠经验、因人而异</w:t>
            </w:r>
          </w:p>
        </w:tc>
        <w:tc>
          <w:tcPr>
            <w:tcW w:type="dxa" w:w="4676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把老师傅的经验变成可配置阈值，超限自动提醒，减少漏检</w:t>
            </w:r>
          </w:p>
        </w:tc>
      </w:tr>
      <w:tr>
        <w:trPr>
          <w:cantSplit/>
          <w:tblHeader w:val="false"/>
        </w:trPr>
        <w:tc>
          <w:tcPr>
            <w:tcW w:type="dxa" w:w="2521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设备状态趋势展示</w:t>
            </w:r>
          </w:p>
        </w:tc>
        <w:tc>
          <w:tcPr>
            <w:tcW w:type="dxa" w:w="2809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状态靠单次点检、难看到变化</w:t>
            </w:r>
          </w:p>
        </w:tc>
        <w:tc>
          <w:tcPr>
            <w:tcW w:type="dxa" w:w="4676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用连续趋势代替单次点检，看清状态变化过程</w:t>
            </w:r>
          </w:p>
        </w:tc>
      </w:tr>
      <w:tr>
        <w:trPr>
          <w:cantSplit/>
          <w:tblHeader w:val="false"/>
        </w:trPr>
        <w:tc>
          <w:tcPr>
            <w:tcW w:type="dxa" w:w="2521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历史数据 CSV 导出</w:t>
            </w:r>
          </w:p>
        </w:tc>
        <w:tc>
          <w:tcPr>
            <w:tcW w:type="dxa" w:w="2809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台账/设备管理需要数据</w:t>
            </w:r>
          </w:p>
        </w:tc>
        <w:tc>
          <w:tcPr>
            <w:tcW w:type="dxa" w:w="4676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历史数据一键导出 CSV，与现有台账或设备软件人工核对</w:t>
            </w:r>
          </w:p>
        </w:tc>
      </w:tr>
      <w:tr>
        <w:trPr>
          <w:cantSplit/>
          <w:tblHeader w:val="false"/>
        </w:trPr>
        <w:tc>
          <w:tcPr>
            <w:tcW w:type="dxa" w:w="2521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数据存客户自有局域网</w:t>
            </w:r>
          </w:p>
        </w:tc>
        <w:tc>
          <w:tcPr>
            <w:tcW w:type="dxa" w:w="2809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生产数据安全顾虑</w:t>
            </w:r>
          </w:p>
        </w:tc>
        <w:tc>
          <w:tcPr>
            <w:tcW w:type="dxa" w:w="4676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数据只留在你厂里的局域网，不外传</w:t>
            </w:r>
          </w:p>
        </w:tc>
      </w:tr>
      <w:tr>
        <w:trPr>
          <w:cantSplit/>
          <w:tblHeader w:val="false"/>
        </w:trPr>
        <w:tc>
          <w:tcPr>
            <w:tcW w:type="dxa" w:w="2521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单站点、可单线试点</w:t>
            </w:r>
          </w:p>
        </w:tc>
        <w:tc>
          <w:tcPr>
            <w:tcW w:type="dxa" w:w="2809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预算有限、担心风险</w:t>
            </w:r>
          </w:p>
        </w:tc>
        <w:tc>
          <w:tcPr>
            <w:tcW w:type="dxa" w:w="4676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先在一台关键设备上小范围试点，低投入验证价值，再决定是否扩展</w:t>
            </w:r>
          </w:p>
        </w:tc>
      </w:tr>
    </w:tbl>
    <w:p>
      <w:pPr>
        <w:spacing w:after="140" w:line="330"/>
      </w:pPr>
      <w:r>
        <w:t xml:space="preserve"/>
      </w:r>
    </w:p>
    <w:p>
      <w:pPr>
        <w:pStyle w:val="Heading1"/>
        <w:keepNext/>
        <w:spacing w:after="150" w:line="330"/>
      </w:pPr>
      <w:r>
        <w:t xml:space="preserve">四、30 天实验总览与约束</w:t>
      </w:r>
    </w:p>
    <w:p>
      <w:pPr>
        <w:spacing w:after="150" w:line="330"/>
      </w:pPr>
      <w:r>
        <w:t xml:space="preserve">团队：2 人（销售 1 + 技术支持 1），每周合计最多 10 人日，现有客户交付占 4 人日，推广可用 6 人日；30 天约 25.7 人日，按 4 周规划约 26 人日并留缓冲。</w:t>
      </w:r>
    </w:p>
    <w:p>
      <w:pPr>
        <w:spacing w:after="150" w:line="330"/>
      </w:pPr>
      <w:r>
        <w:t xml:space="preserve">预算：本轮总预算 8000 元，含活动、差旅、内容与试验；现场演示为预算重心（差旅约 3600 元、约 6 次），不只算投放。</w:t>
      </w:r>
    </w:p>
    <w:p>
      <w:pPr>
        <w:spacing w:after="150" w:line="330"/>
      </w:pPr>
      <w:r>
        <w:t xml:space="preserve">主线：销售反馈客户更愿意先看一次现场演示，因此获客以「现场演示驱动」为主线，内容、邀约与落地页行动入口均指向「预约现场演示」，不以留资料等回电为主。</w:t>
      </w:r>
    </w:p>
    <w:p>
      <w:pPr>
        <w:spacing w:after="150" w:line="330"/>
      </w:pPr>
      <w:r>
        <w:t xml:space="preserve">边界：只产出方案与样稿，不发消息、不投广告、不采集私人联系方式；落地页离线可用、无表单、不发送任何数据。</w:t>
      </w:r>
    </w:p>
    <w:p>
      <w:pPr>
        <w:spacing w:after="150" w:line="330"/>
      </w:pPr>
      <w:r>
        <w:t xml:space="preserve">节奏：成交到付款通常 30–60 天，30 天计划关注有效线索、现场演示与后续评估，不把预计成交写成已实现营收，不承诺订单数量。</w:t>
      </w:r>
    </w:p>
    <w:p>
      <w:pPr>
        <w:pStyle w:val="Heading1"/>
        <w:keepNext/>
        <w:spacing w:after="150" w:line="330"/>
      </w:pPr>
      <w:r>
        <w:t xml:space="preserve">五、渠道选择与邀约方式</w:t>
      </w:r>
    </w:p>
    <w:p>
      <w:pPr>
        <w:spacing w:after="150" w:line="330"/>
      </w:pPr>
      <w:r>
        <w:t xml:space="preserve">渠道仅使用材料中可用资源：老客户引荐、行业协会公开活动、经销伙伴、公开专业内容；不使用付费投放（无可靠历史转化率）、不采集私人联系方式、不代发邀请。</w:t>
      </w:r>
    </w:p>
    <w:p>
      <w:pPr>
        <w:spacing w:after="150" w:line="330"/>
      </w:pPr>
      <w:r>
        <w:t xml:space="preserve">邀约方式（本轮更正）：现场演示为主要邀约形态。现场演示需销售 + 技术支持各 1 人、一次往返综合约 600 元，仅用于通过资格审查（小型金属加工厂 + 稳定供电 + 局域网 + 安装位可确认 + 愿意单线试点）的重点线索；远程演示约 45 分钟仅作初筛/补充，不作为主要邀约。</w:t>
      </w:r>
    </w:p>
    <w:p>
      <w:pPr>
        <w:pStyle w:val="Heading3"/>
        <w:keepNext/>
        <w:spacing w:after="150" w:line="330"/>
      </w:pPr>
      <w:r>
        <w:t xml:space="preserve">渠道与做法（8000 元口径）</w:t>
      </w:r>
    </w:p>
    <w:tbl>
      <w:tblPr>
        <w:tblW w:type="dxa" w:w="10006"/>
        <w:tblBorders>
          <w:top w:val="single" w:color="D7E3EE" w:sz="1"/>
          <w:left w:val="single" w:color="D7E3EE" w:sz="1"/>
          <w:bottom w:val="single" w:color="D7E3EE" w:sz="1"/>
          <w:right w:val="single" w:color="D7E3EE" w:sz="1"/>
          <w:insideH w:val="single" w:color="D7E3EE" w:sz="1"/>
          <w:insideV w:val="single" w:color="D7E3EE" w:sz="1"/>
        </w:tblBorders>
        <w:tblLayout w:type="fixed"/>
      </w:tblPr>
      <w:tblGrid>
        <w:gridCol w:w="1774"/>
        <w:gridCol w:w="3006"/>
        <w:gridCol w:w="3561"/>
        <w:gridCol w:w="1665"/>
      </w:tblGrid>
      <w:tr>
        <w:trPr>
          <w:cantSplit/>
          <w:tblHeader/>
        </w:trPr>
        <w:tc>
          <w:tcPr>
            <w:tcW w:type="dxa" w:w="1774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渠道</w:t>
            </w:r>
          </w:p>
        </w:tc>
        <w:tc>
          <w:tcPr>
            <w:tcW w:type="dxa" w:w="3006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做法</w:t>
            </w:r>
          </w:p>
        </w:tc>
        <w:tc>
          <w:tcPr>
            <w:tcW w:type="dxa" w:w="3561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邀约/内容</w:t>
            </w:r>
          </w:p>
        </w:tc>
        <w:tc>
          <w:tcPr>
            <w:tcW w:type="dxa" w:w="1665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预算侧重</w:t>
            </w:r>
          </w:p>
        </w:tc>
      </w:tr>
      <w:tr>
        <w:trPr>
          <w:cantSplit/>
          <w:tblHeader w:val="false"/>
        </w:trPr>
        <w:tc>
          <w:tcPr>
            <w:tcW w:type="dxa" w:w="1774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老客户引荐</w:t>
            </w:r>
          </w:p>
        </w:tc>
        <w:tc>
          <w:tcPr>
            <w:tcW w:type="dxa" w:w="3006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回访成交客户、请求引荐同类工厂</w:t>
            </w:r>
          </w:p>
        </w:tc>
        <w:tc>
          <w:tcPr>
            <w:tcW w:type="dxa" w:w="3561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以「单线试点 + 现场演示」切入，附一页纸</w:t>
            </w:r>
          </w:p>
        </w:tc>
        <w:tc>
          <w:tcPr>
            <w:tcW w:type="dxa" w:w="1665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低现金成本，主要人日</w:t>
            </w:r>
          </w:p>
        </w:tc>
      </w:tr>
      <w:tr>
        <w:trPr>
          <w:cantSplit/>
          <w:tblHeader w:val="false"/>
        </w:trPr>
        <w:tc>
          <w:tcPr>
            <w:tcW w:type="dxa" w:w="1774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行业协会公开活动</w:t>
            </w:r>
          </w:p>
        </w:tc>
        <w:tc>
          <w:tcPr>
            <w:tcW w:type="dxa" w:w="3006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报名/参加金属加工类协会活动</w:t>
            </w:r>
          </w:p>
        </w:tc>
        <w:tc>
          <w:tcPr>
            <w:tcW w:type="dxa" w:w="3561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现场交流 + 预约现场演示</w:t>
            </w:r>
          </w:p>
        </w:tc>
        <w:tc>
          <w:tcPr>
            <w:tcW w:type="dxa" w:w="1665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约 1200 元</w:t>
            </w:r>
          </w:p>
        </w:tc>
      </w:tr>
      <w:tr>
        <w:trPr>
          <w:cantSplit/>
          <w:tblHeader w:val="false"/>
        </w:trPr>
        <w:tc>
          <w:tcPr>
            <w:tcW w:type="dxa" w:w="1774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经销伙伴</w:t>
            </w:r>
          </w:p>
        </w:tc>
        <w:tc>
          <w:tcPr>
            <w:tcW w:type="dxa" w:w="3006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对接本地经销/机电商</w:t>
            </w:r>
          </w:p>
        </w:tc>
        <w:tc>
          <w:tcPr>
            <w:tcW w:type="dxa" w:w="3561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提供现场演示支持与标准话术</w:t>
            </w:r>
          </w:p>
        </w:tc>
        <w:tc>
          <w:tcPr>
            <w:tcW w:type="dxa" w:w="1665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约 800 元</w:t>
            </w:r>
          </w:p>
        </w:tc>
      </w:tr>
      <w:tr>
        <w:trPr>
          <w:cantSplit/>
          <w:tblHeader w:val="false"/>
        </w:trPr>
        <w:tc>
          <w:tcPr>
            <w:tcW w:type="dxa" w:w="1774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公开专业内容</w:t>
            </w:r>
          </w:p>
        </w:tc>
        <w:tc>
          <w:tcPr>
            <w:tcW w:type="dxa" w:w="3006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公众号/视频号/行业社群技术文章</w:t>
            </w:r>
          </w:p>
        </w:tc>
        <w:tc>
          <w:tcPr>
            <w:tcW w:type="dxa" w:w="3561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状态监测科普 + 「预约现场演示」引导（无真实 logo）</w:t>
            </w:r>
          </w:p>
        </w:tc>
        <w:tc>
          <w:tcPr>
            <w:tcW w:type="dxa" w:w="1665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约 1200 元</w:t>
            </w:r>
          </w:p>
        </w:tc>
      </w:tr>
    </w:tbl>
    <w:p>
      <w:pPr>
        <w:spacing w:after="140" w:line="330"/>
      </w:pPr>
      <w:r>
        <w:t xml:space="preserve"/>
      </w:r>
    </w:p>
    <w:p>
      <w:pPr>
        <w:pStyle w:val="Heading1"/>
        <w:keepNext/>
        <w:spacing w:after="150" w:line="330"/>
      </w:pPr>
      <w:r>
        <w:t xml:space="preserve">六、每周行动（W0–W4）</w:t>
      </w:r>
    </w:p>
    <w:p>
      <w:pPr>
        <w:spacing w:after="150" w:line="330"/>
      </w:pPr>
      <w:r>
        <w:t xml:space="preserve">W0 至 W4 合计约 26 人日，略高于可用 25.7 人日，以「压缩内容发布频次」为缓冲；现场演示受 3600 元差旅预算上限约束（约 6 次），先通过资格审查再排现场演示。</w:t>
      </w:r>
    </w:p>
    <w:p>
      <w:pPr>
        <w:pStyle w:val="Heading3"/>
        <w:keepNext/>
        <w:spacing w:after="150" w:line="330"/>
      </w:pPr>
      <w:r>
        <w:t xml:space="preserve">30 天分周行动</w:t>
      </w:r>
    </w:p>
    <w:tbl>
      <w:tblPr>
        <w:tblW w:type="dxa" w:w="10006"/>
        <w:tblBorders>
          <w:top w:val="single" w:color="D7E3EE" w:sz="1"/>
          <w:left w:val="single" w:color="D7E3EE" w:sz="1"/>
          <w:bottom w:val="single" w:color="D7E3EE" w:sz="1"/>
          <w:right w:val="single" w:color="D7E3EE" w:sz="1"/>
          <w:insideH w:val="single" w:color="D7E3EE" w:sz="1"/>
          <w:insideV w:val="single" w:color="D7E3EE" w:sz="1"/>
        </w:tblBorders>
        <w:tblLayout w:type="fixed"/>
      </w:tblPr>
      <w:tblGrid>
        <w:gridCol w:w="1173"/>
        <w:gridCol w:w="2577"/>
        <w:gridCol w:w="4695"/>
        <w:gridCol w:w="1561"/>
      </w:tblGrid>
      <w:tr>
        <w:trPr>
          <w:cantSplit/>
          <w:tblHeader/>
        </w:trPr>
        <w:tc>
          <w:tcPr>
            <w:tcW w:type="dxa" w:w="1173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周次</w:t>
            </w:r>
          </w:p>
        </w:tc>
        <w:tc>
          <w:tcPr>
            <w:tcW w:type="dxa" w:w="2577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主题</w:t>
            </w:r>
          </w:p>
        </w:tc>
        <w:tc>
          <w:tcPr>
            <w:tcW w:type="dxa" w:w="4695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关键动作</w:t>
            </w:r>
          </w:p>
        </w:tc>
        <w:tc>
          <w:tcPr>
            <w:tcW w:type="dxa" w:w="1561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推广人日</w:t>
            </w:r>
          </w:p>
        </w:tc>
      </w:tr>
      <w:tr>
        <w:trPr>
          <w:cantSplit/>
          <w:tblHeader w:val="false"/>
        </w:trPr>
        <w:tc>
          <w:tcPr>
            <w:tcW w:type="dxa" w:w="1173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W0（2 天）</w:t>
            </w:r>
          </w:p>
        </w:tc>
        <w:tc>
          <w:tcPr>
            <w:tcW w:type="dxa" w:w="2577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准备</w:t>
            </w:r>
          </w:p>
        </w:tc>
        <w:tc>
          <w:tcPr>
            <w:tcW w:type="dxa" w:w="4695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落地页样稿（预约现场演示行动入口）、一页纸、现场演示脚本与话术、线索登记表、行业公开名录</w:t>
            </w:r>
          </w:p>
        </w:tc>
        <w:tc>
          <w:tcPr>
            <w:tcW w:type="dxa" w:w="1561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2</w:t>
            </w:r>
          </w:p>
        </w:tc>
      </w:tr>
      <w:tr>
        <w:trPr>
          <w:cantSplit/>
          <w:tblHeader w:val="false"/>
        </w:trPr>
        <w:tc>
          <w:tcPr>
            <w:tcW w:type="dxa" w:w="1173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W1</w:t>
            </w:r>
          </w:p>
        </w:tc>
        <w:tc>
          <w:tcPr>
            <w:tcW w:type="dxa" w:w="2577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引荐 + 内容 + 筛线索</w:t>
            </w:r>
          </w:p>
        </w:tc>
        <w:tc>
          <w:tcPr>
            <w:tcW w:type="dxa" w:w="4695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回访 3 家成交客户求引荐；发布 1–2 篇公开内容；报名 1 场行业活动；筛出意向名单</w:t>
            </w:r>
          </w:p>
        </w:tc>
        <w:tc>
          <w:tcPr>
            <w:tcW w:type="dxa" w:w="1561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6</w:t>
            </w:r>
          </w:p>
        </w:tc>
      </w:tr>
      <w:tr>
        <w:trPr>
          <w:cantSplit/>
          <w:tblHeader w:val="false"/>
        </w:trPr>
        <w:tc>
          <w:tcPr>
            <w:tcW w:type="dxa" w:w="1173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W2</w:t>
            </w:r>
          </w:p>
        </w:tc>
        <w:tc>
          <w:tcPr>
            <w:tcW w:type="dxa" w:w="2577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活动 + 经销 + 现场演示启动</w:t>
            </w:r>
          </w:p>
        </w:tc>
        <w:tc>
          <w:tcPr>
            <w:tcW w:type="dxa" w:w="4695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参加行业活动收集意向；对接 1–2 家经销伙伴；首批现场演示（1–2 场，重点线索）</w:t>
            </w:r>
          </w:p>
        </w:tc>
        <w:tc>
          <w:tcPr>
            <w:tcW w:type="dxa" w:w="1561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6</w:t>
            </w:r>
          </w:p>
        </w:tc>
      </w:tr>
      <w:tr>
        <w:trPr>
          <w:cantSplit/>
          <w:tblHeader w:val="false"/>
        </w:trPr>
        <w:tc>
          <w:tcPr>
            <w:tcW w:type="dxa" w:w="1173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W3</w:t>
            </w:r>
          </w:p>
        </w:tc>
        <w:tc>
          <w:tcPr>
            <w:tcW w:type="dxa" w:w="2577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现场演示 + 跟进</w:t>
            </w:r>
          </w:p>
        </w:tc>
        <w:tc>
          <w:tcPr>
            <w:tcW w:type="dxa" w:w="4695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重点线索现场演示（3–4 场）；演示后 48h 回访；筛选合格线索</w:t>
            </w:r>
          </w:p>
        </w:tc>
        <w:tc>
          <w:tcPr>
            <w:tcW w:type="dxa" w:w="1561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6</w:t>
            </w:r>
          </w:p>
        </w:tc>
      </w:tr>
      <w:tr>
        <w:trPr>
          <w:cantSplit/>
          <w:tblHeader w:val="false"/>
        </w:trPr>
        <w:tc>
          <w:tcPr>
            <w:tcW w:type="dxa" w:w="1173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W4</w:t>
            </w:r>
          </w:p>
        </w:tc>
        <w:tc>
          <w:tcPr>
            <w:tcW w:type="dxa" w:w="2577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评估 + 复盘</w:t>
            </w:r>
          </w:p>
        </w:tc>
        <w:tc>
          <w:tcPr>
            <w:tcW w:type="dxa" w:w="4695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评估线索出试点方案/报价（销售确认）；复盘指标，决定继续/调整</w:t>
            </w:r>
          </w:p>
        </w:tc>
        <w:tc>
          <w:tcPr>
            <w:tcW w:type="dxa" w:w="1561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6</w:t>
            </w:r>
          </w:p>
        </w:tc>
      </w:tr>
    </w:tbl>
    <w:p>
      <w:pPr>
        <w:spacing w:after="140" w:line="330"/>
      </w:pPr>
      <w:r>
        <w:t xml:space="preserve"/>
      </w:r>
    </w:p>
    <w:p>
      <w:pPr>
        <w:pStyle w:val="Heading1"/>
        <w:keepNext/>
        <w:spacing w:after="150" w:line="330"/>
      </w:pPr>
      <w:r>
        <w:t xml:space="preserve">七、预算分配（8000 元）</w:t>
      </w:r>
    </w:p>
    <w:p>
      <w:pPr>
        <w:pStyle w:val="Heading3"/>
        <w:keepNext/>
        <w:spacing w:after="150" w:line="330"/>
      </w:pPr>
      <w:r>
        <w:t xml:space="preserve">预算分配表（合计 8000 元）</w:t>
      </w:r>
    </w:p>
    <w:tbl>
      <w:tblPr>
        <w:tblW w:type="dxa" w:w="10006"/>
        <w:tblBorders>
          <w:top w:val="single" w:color="D7E3EE" w:sz="1"/>
          <w:left w:val="single" w:color="D7E3EE" w:sz="1"/>
          <w:bottom w:val="single" w:color="D7E3EE" w:sz="1"/>
          <w:right w:val="single" w:color="D7E3EE" w:sz="1"/>
          <w:insideH w:val="single" w:color="D7E3EE" w:sz="1"/>
          <w:insideV w:val="single" w:color="D7E3EE" w:sz="1"/>
        </w:tblBorders>
        <w:tblLayout w:type="fixed"/>
      </w:tblPr>
      <w:tblGrid>
        <w:gridCol w:w="3413"/>
        <w:gridCol w:w="2213"/>
        <w:gridCol w:w="4380"/>
      </w:tblGrid>
      <w:tr>
        <w:trPr>
          <w:cantSplit/>
          <w:tblHeader/>
        </w:trPr>
        <w:tc>
          <w:tcPr>
            <w:tcW w:type="dxa" w:w="3413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项目</w:t>
            </w:r>
          </w:p>
        </w:tc>
        <w:tc>
          <w:tcPr>
            <w:tcW w:type="dxa" w:w="2213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金额（元）</w:t>
            </w:r>
          </w:p>
        </w:tc>
        <w:tc>
          <w:tcPr>
            <w:tcW w:type="dxa" w:w="4380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rPr>
          <w:cantSplit/>
          <w:tblHeader w:val="false"/>
        </w:trPr>
        <w:tc>
          <w:tcPr>
            <w:tcW w:type="dxa" w:w="3413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现场演示差旅（约 6 次 × 600）</w:t>
            </w:r>
          </w:p>
        </w:tc>
        <w:tc>
          <w:tcPr>
            <w:tcW w:type="dxa" w:w="2213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3600</w:t>
            </w:r>
          </w:p>
        </w:tc>
        <w:tc>
          <w:tcPr>
            <w:tcW w:type="dxa" w:w="438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每次销售 + 技术支持各 1、往返综合 600 元；本轮重心，仅用于通过资格审查的重点线索</w:t>
            </w:r>
          </w:p>
        </w:tc>
      </w:tr>
      <w:tr>
        <w:trPr>
          <w:cantSplit/>
          <w:tblHeader w:val="false"/>
        </w:trPr>
        <w:tc>
          <w:tcPr>
            <w:tcW w:type="dxa" w:w="3413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内容与设计</w:t>
            </w:r>
          </w:p>
        </w:tc>
        <w:tc>
          <w:tcPr>
            <w:tcW w:type="dxa" w:w="2213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1200</w:t>
            </w:r>
          </w:p>
        </w:tc>
        <w:tc>
          <w:tcPr>
            <w:tcW w:type="dxa" w:w="438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预约现场演示版落地页、演示脚本、一页纸制作</w:t>
            </w:r>
          </w:p>
        </w:tc>
      </w:tr>
      <w:tr>
        <w:trPr>
          <w:cantSplit/>
          <w:tblHeader w:val="false"/>
        </w:trPr>
        <w:tc>
          <w:tcPr>
            <w:tcW w:type="dxa" w:w="3413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行业协会公开活动（1 场）</w:t>
            </w:r>
          </w:p>
        </w:tc>
        <w:tc>
          <w:tcPr>
            <w:tcW w:type="dxa" w:w="2213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1200</w:t>
            </w:r>
          </w:p>
        </w:tc>
        <w:tc>
          <w:tcPr>
            <w:tcW w:type="dxa" w:w="438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金属加工类协会报名/参会/物料</w:t>
            </w:r>
          </w:p>
        </w:tc>
      </w:tr>
      <w:tr>
        <w:trPr>
          <w:cantSplit/>
          <w:tblHeader w:val="false"/>
        </w:trPr>
        <w:tc>
          <w:tcPr>
            <w:tcW w:type="dxa" w:w="3413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经销伙伴对接与试点支持</w:t>
            </w:r>
          </w:p>
        </w:tc>
        <w:tc>
          <w:tcPr>
            <w:tcW w:type="dxa" w:w="2213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800</w:t>
            </w:r>
          </w:p>
        </w:tc>
        <w:tc>
          <w:tcPr>
            <w:tcW w:type="dxa" w:w="438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对接支持与试点样机协调</w:t>
            </w:r>
          </w:p>
        </w:tc>
      </w:tr>
      <w:tr>
        <w:trPr>
          <w:cantSplit/>
          <w:tblHeader w:val="false"/>
        </w:trPr>
        <w:tc>
          <w:tcPr>
            <w:tcW w:type="dxa" w:w="3413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老客户引荐激励</w:t>
            </w:r>
          </w:p>
        </w:tc>
        <w:tc>
          <w:tcPr>
            <w:tcW w:type="dxa" w:w="2213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600</w:t>
            </w:r>
          </w:p>
        </w:tc>
        <w:tc>
          <w:tcPr>
            <w:tcW w:type="dxa" w:w="438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礼品/优惠券（不采集私人联系方式）</w:t>
            </w:r>
          </w:p>
        </w:tc>
      </w:tr>
      <w:tr>
        <w:trPr>
          <w:cantSplit/>
          <w:tblHeader w:val="false"/>
        </w:trPr>
        <w:tc>
          <w:tcPr>
            <w:tcW w:type="dxa" w:w="3413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机动 / 止损</w:t>
            </w:r>
          </w:p>
        </w:tc>
        <w:tc>
          <w:tcPr>
            <w:tcW w:type="dxa" w:w="2213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600</w:t>
            </w:r>
          </w:p>
        </w:tc>
        <w:tc>
          <w:tcPr>
            <w:tcW w:type="dxa" w:w="438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止损保留与突发</w:t>
            </w:r>
          </w:p>
        </w:tc>
      </w:tr>
      <w:tr>
        <w:trPr>
          <w:cantSplit/>
          <w:tblHeader w:val="false"/>
        </w:trPr>
        <w:tc>
          <w:tcPr>
            <w:tcW w:type="dxa" w:w="3413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合计</w:t>
            </w:r>
          </w:p>
        </w:tc>
        <w:tc>
          <w:tcPr>
            <w:tcW w:type="dxa" w:w="2213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8000</w:t>
            </w:r>
          </w:p>
        </w:tc>
        <w:tc>
          <w:tcPr>
            <w:tcW w:type="dxa" w:w="4380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含演示费用，不只算投放</w:t>
            </w:r>
          </w:p>
        </w:tc>
      </w:tr>
    </w:tbl>
    <w:p>
      <w:pPr>
        <w:spacing w:after="140" w:line="330"/>
      </w:pPr>
      <w:r>
        <w:t xml:space="preserve"/>
      </w:r>
    </w:p>
    <w:p>
      <w:pPr>
        <w:pStyle w:val="Heading1"/>
        <w:keepNext/>
        <w:spacing w:after="150" w:line="330"/>
      </w:pPr>
      <w:r>
        <w:t xml:space="preserve">八、线索筛选与跟进路径</w:t>
      </w:r>
    </w:p>
    <w:p>
      <w:pPr>
        <w:spacing w:after="150" w:line="330"/>
      </w:pPr>
      <w:r>
        <w:t xml:space="preserve">筛选流程：来源 → 初步意向（联系项目负责人）→ 资格审查（小型金属加工厂、稳定供电、局域网、安装位可确认、愿意单线试点）→ 记为有效线索（MQL）。</w:t>
      </w:r>
    </w:p>
    <w:p>
      <w:pPr>
        <w:spacing w:after="150" w:line="330"/>
      </w:pPr>
      <w:r>
        <w:t xml:space="preserve">分级：A 级（可现场演示 + 试点意向强）、B 级（远程初筛/观察）、C 级（暂缓）。</w:t>
      </w:r>
    </w:p>
    <w:p>
      <w:pPr>
        <w:spacing w:after="150" w:line="330"/>
      </w:pPr>
      <w:r>
        <w:t xml:space="preserve">跟进节奏：1 日内首次响应；合格线索 7 日内安排现场演示（销售 + 技术支持 2 人到场、安装位已确认，现场演示为主线）；演示后 48h 回访；进入评估的出试点方案与报价（由销售确认，不代发）。</w:t>
      </w:r>
    </w:p>
    <w:p>
      <w:pPr>
        <w:spacing w:after="150" w:line="330"/>
      </w:pPr>
      <w:r>
        <w:t xml:space="preserve">红线：不搜集私人联系人、不代发邀请、不作出成交承诺。</w:t>
      </w:r>
    </w:p>
    <w:p>
      <w:pPr>
        <w:pStyle w:val="Heading1"/>
        <w:keepNext/>
        <w:spacing w:after="150" w:line="330"/>
      </w:pPr>
      <w:r>
        <w:t xml:space="preserve">九、观察指标与停止/调整条件</w:t>
      </w:r>
    </w:p>
    <w:p>
      <w:pPr>
        <w:spacing w:after="150" w:line="330"/>
      </w:pPr>
      <w:r>
        <w:t xml:space="preserve">停止/调整条件（8000 元口径）：第 2 周末有效线索 &lt; 6 → 暂停现场演示投入、复盘渠道；现场演示「评估转化率」&lt; 30% → 改远程初筛、优化演示脚本；某渠道零线索且成本高 → 停用该渠道、预算转向已验证渠道；预算消耗 &gt; 70%（约 5600 元）而有效线索 &lt; 10 → 触发止损、保留机动预算。</w:t>
      </w:r>
    </w:p>
    <w:p>
      <w:pPr>
        <w:pStyle w:val="Heading3"/>
        <w:keepNext/>
        <w:spacing w:after="150" w:line="330"/>
      </w:pPr>
      <w:r>
        <w:t xml:space="preserve">观察指标</w:t>
      </w:r>
    </w:p>
    <w:tbl>
      <w:tblPr>
        <w:tblW w:type="dxa" w:w="10006"/>
        <w:tblBorders>
          <w:top w:val="single" w:color="D7E3EE" w:sz="1"/>
          <w:left w:val="single" w:color="D7E3EE" w:sz="1"/>
          <w:bottom w:val="single" w:color="D7E3EE" w:sz="1"/>
          <w:right w:val="single" w:color="D7E3EE" w:sz="1"/>
          <w:insideH w:val="single" w:color="D7E3EE" w:sz="1"/>
          <w:insideV w:val="single" w:color="D7E3EE" w:sz="1"/>
        </w:tblBorders>
        <w:tblLayout w:type="fixed"/>
      </w:tblPr>
      <w:tblGrid>
        <w:gridCol w:w="3098"/>
        <w:gridCol w:w="4257"/>
        <w:gridCol w:w="2651"/>
      </w:tblGrid>
      <w:tr>
        <w:trPr>
          <w:cantSplit/>
          <w:tblHeader/>
        </w:trPr>
        <w:tc>
          <w:tcPr>
            <w:tcW w:type="dxa" w:w="3098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4257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口径</w:t>
            </w:r>
          </w:p>
        </w:tc>
        <w:tc>
          <w:tcPr>
            <w:tcW w:type="dxa" w:w="2651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用途</w:t>
            </w:r>
          </w:p>
        </w:tc>
      </w:tr>
      <w:tr>
        <w:trPr>
          <w:cantSplit/>
          <w:tblHeader w:val="false"/>
        </w:trPr>
        <w:tc>
          <w:tcPr>
            <w:tcW w:type="dxa" w:w="3098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有效线索（MQL）</w:t>
            </w:r>
          </w:p>
        </w:tc>
        <w:tc>
          <w:tcPr>
            <w:tcW w:type="dxa" w:w="4257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通过资格审查的线索数</w:t>
            </w:r>
          </w:p>
        </w:tc>
        <w:tc>
          <w:tcPr>
            <w:tcW w:type="dxa" w:w="2651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衡量获客质量</w:t>
            </w:r>
          </w:p>
        </w:tc>
      </w:tr>
      <w:tr>
        <w:trPr>
          <w:cantSplit/>
          <w:tblHeader w:val="false"/>
        </w:trPr>
        <w:tc>
          <w:tcPr>
            <w:tcW w:type="dxa" w:w="3098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现场演示数</w:t>
            </w:r>
          </w:p>
        </w:tc>
        <w:tc>
          <w:tcPr>
            <w:tcW w:type="dxa" w:w="4257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现场演示完成数（本轮主线）</w:t>
            </w:r>
          </w:p>
        </w:tc>
        <w:tc>
          <w:tcPr>
            <w:tcW w:type="dxa" w:w="2651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衡量邀约转化</w:t>
            </w:r>
          </w:p>
        </w:tc>
      </w:tr>
      <w:tr>
        <w:trPr>
          <w:cantSplit/>
          <w:tblHeader w:val="false"/>
        </w:trPr>
        <w:tc>
          <w:tcPr>
            <w:tcW w:type="dxa" w:w="3098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演示 → 评估转化率</w:t>
            </w:r>
          </w:p>
        </w:tc>
        <w:tc>
          <w:tcPr>
            <w:tcW w:type="dxa" w:w="4257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演示后进入报价/试点方案的比例</w:t>
            </w:r>
          </w:p>
        </w:tc>
        <w:tc>
          <w:tcPr>
            <w:tcW w:type="dxa" w:w="2651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衡量价值表达与演示有效性</w:t>
            </w:r>
          </w:p>
        </w:tc>
      </w:tr>
      <w:tr>
        <w:trPr>
          <w:cantSplit/>
          <w:tblHeader w:val="false"/>
        </w:trPr>
        <w:tc>
          <w:tcPr>
            <w:tcW w:type="dxa" w:w="3098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每条有效线索成本</w:t>
            </w:r>
          </w:p>
        </w:tc>
        <w:tc>
          <w:tcPr>
            <w:tcW w:type="dxa" w:w="4257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预算 ÷ 有效线索数</w:t>
            </w:r>
          </w:p>
        </w:tc>
        <w:tc>
          <w:tcPr>
            <w:tcW w:type="dxa" w:w="2651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成本效率</w:t>
            </w:r>
          </w:p>
        </w:tc>
      </w:tr>
      <w:tr>
        <w:trPr>
          <w:cantSplit/>
          <w:tblHeader w:val="false"/>
        </w:trPr>
        <w:tc>
          <w:tcPr>
            <w:tcW w:type="dxa" w:w="3098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每次现场演示成本</w:t>
            </w:r>
          </w:p>
        </w:tc>
        <w:tc>
          <w:tcPr>
            <w:tcW w:type="dxa" w:w="4257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（差旅 + 人力）÷ 现场演示数</w:t>
            </w:r>
          </w:p>
        </w:tc>
        <w:tc>
          <w:tcPr>
            <w:tcW w:type="dxa" w:w="2651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演示经济性</w:t>
            </w:r>
          </w:p>
        </w:tc>
      </w:tr>
      <w:tr>
        <w:trPr>
          <w:cantSplit/>
          <w:tblHeader w:val="false"/>
        </w:trPr>
        <w:tc>
          <w:tcPr>
            <w:tcW w:type="dxa" w:w="3098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渠道来源分布</w:t>
            </w:r>
          </w:p>
        </w:tc>
        <w:tc>
          <w:tcPr>
            <w:tcW w:type="dxa" w:w="4257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各渠道线索占比</w:t>
            </w:r>
          </w:p>
        </w:tc>
        <w:tc>
          <w:tcPr>
            <w:tcW w:type="dxa" w:w="2651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识别有效渠道</w:t>
            </w:r>
          </w:p>
        </w:tc>
      </w:tr>
    </w:tbl>
    <w:p>
      <w:pPr>
        <w:spacing w:after="140" w:line="330"/>
      </w:pPr>
      <w:r>
        <w:t xml:space="preserve"/>
      </w:r>
    </w:p>
    <w:p>
      <w:pPr>
        <w:pStyle w:val="Heading1"/>
        <w:keepNext/>
        <w:spacing w:after="150" w:line="330"/>
      </w:pPr>
      <w:r>
        <w:t xml:space="preserve">十、漏斗与获客成本测算（明确假设 · 区间）</w:t>
      </w:r>
    </w:p>
    <w:p>
      <w:pPr>
        <w:spacing w:after="150" w:line="330"/>
      </w:pPr>
      <w:r>
        <w:t xml:space="preserve">以下目标均为显式假设区间，非历史实测，不保证实现、不承诺订单数量。</w:t>
      </w:r>
    </w:p>
    <w:p>
      <w:pPr>
        <w:spacing w:after="150" w:line="330"/>
      </w:pPr>
      <w:r>
        <w:t xml:space="preserve">阶段转化率（中位，仅供参考）：触达→意向约 6.7%（30/450）、意向→MQL 约 60%（18/30）、MQL→现场演示约 33%（6/18）、演示→评估约 50%（3/6）、评估→成交约 33%–67%（1–2/3，区间、不承诺）。</w:t>
      </w:r>
    </w:p>
    <w:p>
      <w:pPr>
        <w:spacing w:after="150" w:line="330"/>
      </w:pPr>
      <w:r>
        <w:t xml:space="preserve">H1：无可靠的付费渠道历史转化率，本方案不依赖付费投放；触达量按两人团队可执行的内容与活动频次估算，为区间估计，非实测曝光。</w:t>
      </w:r>
    </w:p>
    <w:p>
      <w:pPr>
        <w:spacing w:after="150" w:line="330"/>
      </w:pPr>
      <w:r>
        <w:t xml:space="preserve">H2：历史 24 条为引荐 + 展会来源、样本小，仅作客户群优先级判断，不反推任何渠道转化率。</w:t>
      </w:r>
    </w:p>
    <w:p>
      <w:pPr>
        <w:spacing w:after="150" w:line="330"/>
      </w:pPr>
      <w:r>
        <w:t xml:space="preserve">H3：成交付款 30–60 天，30 天窗口只计「进入评估/报价」，不把预计成交写成已实现营收。</w:t>
      </w:r>
    </w:p>
    <w:p>
      <w:pPr>
        <w:spacing w:after="150" w:line="330"/>
      </w:pPr>
      <w:r>
        <w:t xml:space="preserve">H4：毛利率未提供，CAC 与客单价对比仅作首单参考，需靠试点增购/转介绍摊薄；低成本验证阶段不以单笔成单回收为目标。</w:t>
      </w:r>
    </w:p>
    <w:p>
      <w:pPr>
        <w:spacing w:after="150" w:line="330"/>
      </w:pPr>
      <w:r>
        <w:t xml:space="preserve">H5（现场演示假设）：现场演示为销售反馈的客户偏好形态，本轮以现场演示为主线；每次需销售 + 技术支持各 1 人、一次往返综合约 600 元，差旅预算 3600 元约支持 6 次，场次先筛后用。</w:t>
      </w:r>
    </w:p>
    <w:p>
      <w:pPr>
        <w:pStyle w:val="Heading3"/>
        <w:keepNext/>
        <w:spacing w:after="150" w:line="330"/>
      </w:pPr>
      <w:r>
        <w:t xml:space="preserve">30 天漏斗（区间假设，不承诺）</w:t>
      </w:r>
    </w:p>
    <w:tbl>
      <w:tblPr>
        <w:tblW w:type="dxa" w:w="10006"/>
        <w:tblBorders>
          <w:top w:val="single" w:color="D7E3EE" w:sz="1"/>
          <w:left w:val="single" w:color="D7E3EE" w:sz="1"/>
          <w:bottom w:val="single" w:color="D7E3EE" w:sz="1"/>
          <w:right w:val="single" w:color="D7E3EE" w:sz="1"/>
          <w:insideH w:val="single" w:color="D7E3EE" w:sz="1"/>
          <w:insideV w:val="single" w:color="D7E3EE" w:sz="1"/>
        </w:tblBorders>
        <w:tblLayout w:type="fixed"/>
      </w:tblPr>
      <w:tblGrid>
        <w:gridCol w:w="3028"/>
        <w:gridCol w:w="1893"/>
        <w:gridCol w:w="1362"/>
        <w:gridCol w:w="3723"/>
      </w:tblGrid>
      <w:tr>
        <w:trPr>
          <w:cantSplit/>
          <w:tblHeader/>
        </w:trPr>
        <w:tc>
          <w:tcPr>
            <w:tcW w:type="dxa" w:w="3028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阶段</w:t>
            </w:r>
          </w:p>
        </w:tc>
        <w:tc>
          <w:tcPr>
            <w:tcW w:type="dxa" w:w="1893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目标（区间）</w:t>
            </w:r>
          </w:p>
        </w:tc>
        <w:tc>
          <w:tcPr>
            <w:tcW w:type="dxa" w:w="1362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取中位</w:t>
            </w:r>
          </w:p>
        </w:tc>
        <w:tc>
          <w:tcPr>
            <w:tcW w:type="dxa" w:w="3723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说明/假设</w:t>
            </w:r>
          </w:p>
        </w:tc>
      </w:tr>
      <w:tr>
        <w:trPr>
          <w:cantSplit/>
          <w:tblHeader w:val="false"/>
        </w:trPr>
        <w:tc>
          <w:tcPr>
            <w:tcW w:type="dxa" w:w="3028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触达（内容阅读 + 活动接触）</w:t>
            </w:r>
          </w:p>
        </w:tc>
        <w:tc>
          <w:tcPr>
            <w:tcW w:type="dxa" w:w="1893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300–600</w:t>
            </w:r>
          </w:p>
        </w:tc>
        <w:tc>
          <w:tcPr>
            <w:tcW w:type="dxa" w:w="1362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450</w:t>
            </w:r>
          </w:p>
        </w:tc>
        <w:tc>
          <w:tcPr>
            <w:tcW w:type="dxa" w:w="3723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H1 估算</w:t>
            </w:r>
          </w:p>
        </w:tc>
      </w:tr>
      <w:tr>
        <w:trPr>
          <w:cantSplit/>
          <w:tblHeader w:val="false"/>
        </w:trPr>
        <w:tc>
          <w:tcPr>
            <w:tcW w:type="dxa" w:w="3028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意向线索（表达现场演示意愿）</w:t>
            </w:r>
          </w:p>
        </w:tc>
        <w:tc>
          <w:tcPr>
            <w:tcW w:type="dxa" w:w="1893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20–40</w:t>
            </w:r>
          </w:p>
        </w:tc>
        <w:tc>
          <w:tcPr>
            <w:tcW w:type="dxa" w:w="1362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30</w:t>
            </w:r>
          </w:p>
        </w:tc>
        <w:tc>
          <w:tcPr>
            <w:tcW w:type="dxa" w:w="3723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现场演示主线，以「预约现场演示」为入口</w:t>
            </w:r>
          </w:p>
        </w:tc>
      </w:tr>
      <w:tr>
        <w:trPr>
          <w:cantSplit/>
          <w:tblHeader w:val="false"/>
        </w:trPr>
        <w:tc>
          <w:tcPr>
            <w:tcW w:type="dxa" w:w="3028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有效线索 MQL</w:t>
            </w:r>
          </w:p>
        </w:tc>
        <w:tc>
          <w:tcPr>
            <w:tcW w:type="dxa" w:w="1893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12–24</w:t>
            </w:r>
          </w:p>
        </w:tc>
        <w:tc>
          <w:tcPr>
            <w:tcW w:type="dxa" w:w="1362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18</w:t>
            </w:r>
          </w:p>
        </w:tc>
        <w:tc>
          <w:tcPr>
            <w:tcW w:type="dxa" w:w="3723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资格审查通过</w:t>
            </w:r>
          </w:p>
        </w:tc>
      </w:tr>
      <w:tr>
        <w:trPr>
          <w:cantSplit/>
          <w:tblHeader w:val="false"/>
        </w:trPr>
        <w:tc>
          <w:tcPr>
            <w:tcW w:type="dxa" w:w="3028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合格现场演示</w:t>
            </w:r>
          </w:p>
        </w:tc>
        <w:tc>
          <w:tcPr>
            <w:tcW w:type="dxa" w:w="1893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4–8</w:t>
            </w:r>
          </w:p>
        </w:tc>
        <w:tc>
          <w:tcPr>
            <w:tcW w:type="dxa" w:w="1362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3723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差旅上限约 6 次（3600 元）</w:t>
            </w:r>
          </w:p>
        </w:tc>
      </w:tr>
      <w:tr>
        <w:trPr>
          <w:cantSplit/>
          <w:tblHeader w:val="false"/>
        </w:trPr>
        <w:tc>
          <w:tcPr>
            <w:tcW w:type="dxa" w:w="3028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后续评估</w:t>
            </w:r>
          </w:p>
        </w:tc>
        <w:tc>
          <w:tcPr>
            <w:tcW w:type="dxa" w:w="1893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2–5</w:t>
            </w:r>
          </w:p>
        </w:tc>
        <w:tc>
          <w:tcPr>
            <w:tcW w:type="dxa" w:w="1362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723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进入报价/试点方案</w:t>
            </w:r>
          </w:p>
        </w:tc>
      </w:tr>
      <w:tr>
        <w:trPr>
          <w:cantSplit/>
          <w:tblHeader w:val="false"/>
        </w:trPr>
        <w:tc>
          <w:tcPr>
            <w:tcW w:type="dxa" w:w="3028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预计成交</w:t>
            </w:r>
          </w:p>
        </w:tc>
        <w:tc>
          <w:tcPr>
            <w:tcW w:type="dxa" w:w="1893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0–2</w:t>
            </w:r>
          </w:p>
        </w:tc>
        <w:tc>
          <w:tcPr>
            <w:tcW w:type="dxa" w:w="1362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不设承诺</w:t>
            </w:r>
          </w:p>
        </w:tc>
        <w:tc>
          <w:tcPr>
            <w:tcW w:type="dxa" w:w="3723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H3：付款 30–60 天，不计 30 天营收，不承诺订单数</w:t>
            </w:r>
          </w:p>
        </w:tc>
      </w:tr>
    </w:tbl>
    <w:p>
      <w:pPr>
        <w:spacing w:after="140" w:line="330"/>
      </w:pPr>
      <w:r>
        <w:t xml:space="preserve"/>
      </w:r>
    </w:p>
    <w:p>
      <w:pPr>
        <w:pStyle w:val="Heading3"/>
        <w:keepNext/>
        <w:spacing w:after="150" w:line="330"/>
      </w:pPr>
      <w:r>
        <w:t xml:space="preserve">获客成本测算（区间口径）</w:t>
      </w:r>
    </w:p>
    <w:tbl>
      <w:tblPr>
        <w:tblW w:type="dxa" w:w="10006"/>
        <w:tblBorders>
          <w:top w:val="single" w:color="D7E3EE" w:sz="1"/>
          <w:left w:val="single" w:color="D7E3EE" w:sz="1"/>
          <w:bottom w:val="single" w:color="D7E3EE" w:sz="1"/>
          <w:right w:val="single" w:color="D7E3EE" w:sz="1"/>
          <w:insideH w:val="single" w:color="D7E3EE" w:sz="1"/>
          <w:insideV w:val="single" w:color="D7E3EE" w:sz="1"/>
        </w:tblBorders>
        <w:tblLayout w:type="fixed"/>
      </w:tblPr>
      <w:tblGrid>
        <w:gridCol w:w="3499"/>
        <w:gridCol w:w="2515"/>
        <w:gridCol w:w="3992"/>
      </w:tblGrid>
      <w:tr>
        <w:trPr>
          <w:cantSplit/>
          <w:tblHeader/>
        </w:trPr>
        <w:tc>
          <w:tcPr>
            <w:tcW w:type="dxa" w:w="3499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口径</w:t>
            </w:r>
          </w:p>
        </w:tc>
        <w:tc>
          <w:tcPr>
            <w:tcW w:type="dxa" w:w="2515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计算</w:t>
            </w:r>
          </w:p>
        </w:tc>
        <w:tc>
          <w:tcPr>
            <w:tcW w:type="dxa" w:w="3992"/>
            <w:shd w:fill="102A43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结果（区间）</w:t>
            </w:r>
          </w:p>
        </w:tc>
      </w:tr>
      <w:tr>
        <w:trPr>
          <w:cantSplit/>
          <w:tblHeader w:val="false"/>
        </w:trPr>
        <w:tc>
          <w:tcPr>
            <w:tcW w:type="dxa" w:w="3499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每条有效线索成本</w:t>
            </w:r>
          </w:p>
        </w:tc>
        <w:tc>
          <w:tcPr>
            <w:tcW w:type="dxa" w:w="2515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8000 ÷ 12–24</w:t>
            </w:r>
          </w:p>
        </w:tc>
        <w:tc>
          <w:tcPr>
            <w:tcW w:type="dxa" w:w="3992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约 333–667 元</w:t>
            </w:r>
          </w:p>
        </w:tc>
      </w:tr>
      <w:tr>
        <w:trPr>
          <w:cantSplit/>
          <w:tblHeader w:val="false"/>
        </w:trPr>
        <w:tc>
          <w:tcPr>
            <w:tcW w:type="dxa" w:w="3499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每次现场演示差旅成本</w:t>
            </w:r>
          </w:p>
        </w:tc>
        <w:tc>
          <w:tcPr>
            <w:tcW w:type="dxa" w:w="2515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3600 ÷ 4–8</w:t>
            </w:r>
          </w:p>
        </w:tc>
        <w:tc>
          <w:tcPr>
            <w:tcW w:type="dxa" w:w="3992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约 450–900 元（中位 600 元）</w:t>
            </w:r>
          </w:p>
        </w:tc>
      </w:tr>
      <w:tr>
        <w:trPr>
          <w:cantSplit/>
          <w:tblHeader w:val="false"/>
        </w:trPr>
        <w:tc>
          <w:tcPr>
            <w:tcW w:type="dxa" w:w="3499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每条评估线索成本</w:t>
            </w:r>
          </w:p>
        </w:tc>
        <w:tc>
          <w:tcPr>
            <w:tcW w:type="dxa" w:w="2515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8000 ÷ 2–5</w:t>
            </w:r>
          </w:p>
        </w:tc>
        <w:tc>
          <w:tcPr>
            <w:tcW w:type="dxa" w:w="3992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约 1600–4000 元</w:t>
            </w:r>
          </w:p>
        </w:tc>
      </w:tr>
      <w:tr>
        <w:trPr>
          <w:cantSplit/>
          <w:tblHeader w:val="false"/>
        </w:trPr>
        <w:tc>
          <w:tcPr>
            <w:tcW w:type="dxa" w:w="3499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单笔成交 CAC（若 1–2 单，30–60 天）</w:t>
            </w:r>
          </w:p>
        </w:tc>
        <w:tc>
          <w:tcPr>
            <w:tcW w:type="dxa" w:w="2515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8000 ÷ 1–2</w:t>
            </w:r>
          </w:p>
        </w:tc>
        <w:tc>
          <w:tcPr>
            <w:tcW w:type="dxa" w:w="3992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约 4000–8000 元（不承诺成单）</w:t>
            </w:r>
          </w:p>
        </w:tc>
      </w:tr>
      <w:tr>
        <w:trPr>
          <w:cantSplit/>
          <w:tblHeader w:val="false"/>
        </w:trPr>
        <w:tc>
          <w:tcPr>
            <w:tcW w:type="dxa" w:w="3499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CAC 占客单价（12800 元）</w:t>
            </w:r>
          </w:p>
        </w:tc>
        <w:tc>
          <w:tcPr>
            <w:tcW w:type="dxa" w:w="2515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4000–8000 ÷ 12800</w:t>
            </w:r>
          </w:p>
        </w:tc>
        <w:tc>
          <w:tcPr>
            <w:tcW w:type="dxa" w:w="3992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约 31%–63%（H4 仅作首单参考）</w:t>
            </w:r>
          </w:p>
        </w:tc>
      </w:tr>
    </w:tbl>
    <w:p>
      <w:pPr>
        <w:spacing w:after="140" w:line="330"/>
      </w:pPr>
      <w:r>
        <w:t xml:space="preserve"/>
      </w:r>
    </w:p>
    <w:p>
      <w:pPr>
        <w:pStyle w:val="Heading1"/>
        <w:keepNext/>
        <w:spacing w:after="150" w:line="330"/>
      </w:pPr>
      <w:r>
        <w:t xml:space="preserve">十一、数据口径与免责声明</w:t>
      </w:r>
    </w:p>
    <w:p>
      <w:pPr>
        <w:spacing w:after="150" w:line="330"/>
      </w:pPr>
      <w:r>
        <w:t xml:space="preserve">本方案全部依据附件模拟客户资料完成，企业、人员、交易与实验均为虚构，业务数值仅用于本场景分析，不代表真实经营效果；未发送任何消息、未投放广告、未采集私人联系方式。</w:t>
      </w:r>
    </w:p>
    <w:p>
      <w:pPr>
        <w:spacing w:after="150" w:line="330"/>
      </w:pPr>
      <w:r>
        <w:t xml:space="preserve">预算、漏斗与成本均为区间假设，不承诺获得订单数量；现场演示为销售反馈的客户偏好，本方案仅作低成本验证路径设计。</w:t>
      </w:r>
    </w:p>
    <w:p>
      <w:pPr>
        <w:spacing w:after="150" w:line="330"/>
      </w:pPr>
      <w:r>
        <w:t xml:space="preserve">落地页为离线营销样稿，联系方式使用「请联系项目负责人」，行动入口为非提交式引导（预约现场演示说明），表单不发送任何数据、不连接外部服务。</w:t>
      </w:r>
    </w:p>
    <w:sectPr>
      <w:footerReference w:type="default" r:id="rId7"/>
      <w:pgSz w:w="11906" w:h="16838" w:orient="portrait"/>
      <w:pgMar w:top="900" w:right="950" w:bottom="850" w:left="9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5D6D7E"/>
        <w:sz w:val="16"/>
        <w:szCs w:val="16"/>
      </w:rPr>
      <w:t xml:space="preserve">衡途感知 S20 工业状态监测套件 · 30 天获客实验方案（低成本验证版 · 8000 元）  ·  </w:t>
    </w:r>
    <w:r>
      <w:rPr>
        <w:color w:val="5D6D7E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2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20" w:hanging="2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2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color w:val="243746"/>
        <w:sz w:val="22"/>
        <w:szCs w:val="22"/>
      </w:rPr>
    </w:rPrDefault>
    <w:pPrDefault>
      <w:pPr>
        <w:widowControl/>
        <w:spacing w:line="33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b/>
      <w:bCs/>
      <w:color w:val="102A43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60" w:before="260"/>
      <w:outlineLvl w:val="0"/>
    </w:pPr>
    <w:rPr>
      <w:rFonts w:ascii="Microsoft YaHei" w:cs="Microsoft YaHei" w:eastAsia="Microsoft YaHei" w:hAnsi="Microsoft YaHei"/>
      <w:b/>
      <w:bCs/>
      <w:color w:val="102A43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563EB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99" w:before="161"/>
      <w:outlineLvl w:val="2"/>
    </w:pPr>
    <w:rPr>
      <w:rFonts w:ascii="Microsoft YaHei" w:cs="Microsoft YaHei" w:eastAsia="Microsoft YaHei" w:hAnsi="Microsoft YaHei"/>
      <w:b/>
      <w:bCs/>
      <w:color w:val="2563EB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衡途感知 S20 工业状态监测套件 · 30 天获客实验方案（低成本验证版 · 8000 元）</dc:title>
  <dc:subject>第二轮修订：预算 8000 元、以现场演示为主线、无可靠付费渠道历史转化率、区间假设保留不确定性</dc:subject>
  <dc:creator>灵栀AI</dc:creator>
  <cp:lastModifiedBy>Un-named</cp:lastModifiedBy>
  <cp:revision>1</cp:revision>
  <dcterms:created xsi:type="dcterms:W3CDTF">2026-10-08T07:38:23.657Z</dcterms:created>
  <dcterms:modified xsi:type="dcterms:W3CDTF">2026-10-08T07:38:23.657Z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